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02" w:rsidRDefault="00747E02" w:rsidP="00747E02">
      <w:pPr>
        <w:pStyle w:val="Title"/>
      </w:pPr>
      <w:r>
        <w:t xml:space="preserve">Program predmeta </w:t>
      </w:r>
    </w:p>
    <w:p w:rsidR="00747E02" w:rsidRPr="002344BB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 w:rsidRPr="002344BB">
        <w:t>Osnovne</w:t>
      </w:r>
      <w:proofErr w:type="spellEnd"/>
      <w:r w:rsidRPr="002344BB">
        <w:t xml:space="preserve"> </w:t>
      </w:r>
      <w:proofErr w:type="spellStart"/>
      <w:r w:rsidRPr="002344BB">
        <w:t>informacije</w:t>
      </w:r>
      <w:proofErr w:type="spellEnd"/>
      <w:r w:rsidRPr="00453B2E">
        <w:t xml:space="preserve"> </w:t>
      </w:r>
    </w:p>
    <w:p w:rsidR="00747E02" w:rsidRDefault="00747E02" w:rsidP="00747E02">
      <w:pPr>
        <w:pStyle w:val="NoSpacing"/>
      </w:pPr>
      <w:r w:rsidRPr="002344BB">
        <w:t>Naziv</w:t>
      </w:r>
      <w:r>
        <w:t xml:space="preserve"> predmeta: DENTALNA  FARMAKOLOGIJA</w:t>
      </w:r>
    </w:p>
    <w:p w:rsidR="00747E02" w:rsidRDefault="00747E02" w:rsidP="00747E02">
      <w:pPr>
        <w:pStyle w:val="NoSpacing"/>
      </w:pPr>
      <w:r>
        <w:t>Šifra:</w:t>
      </w:r>
      <w:r w:rsidRPr="00453B2E">
        <w:t xml:space="preserve"> </w:t>
      </w:r>
      <w:r>
        <w:t>71278</w:t>
      </w:r>
    </w:p>
    <w:p w:rsidR="00747E02" w:rsidRDefault="00747E02" w:rsidP="00747E02">
      <w:pPr>
        <w:pStyle w:val="NoSpacing"/>
      </w:pPr>
      <w:r>
        <w:t>Broj ECTS:</w:t>
      </w:r>
      <w:r w:rsidRPr="00453B2E">
        <w:t xml:space="preserve"> </w:t>
      </w:r>
      <w:r>
        <w:t>3,5</w:t>
      </w:r>
    </w:p>
    <w:p w:rsidR="00747E02" w:rsidRDefault="00747E02" w:rsidP="00747E02">
      <w:pPr>
        <w:pStyle w:val="NoSpacing"/>
      </w:pPr>
      <w:r>
        <w:t>Broj sati: 15P, 15V, 15S</w:t>
      </w:r>
    </w:p>
    <w:p w:rsidR="00747E02" w:rsidRDefault="00747E02" w:rsidP="00747E02">
      <w:pPr>
        <w:pStyle w:val="NoSpacing"/>
      </w:pPr>
      <w:r w:rsidRPr="002344BB">
        <w:t>Ustrojstvena jedinica</w:t>
      </w:r>
      <w:r>
        <w:t>: Katedra za farmakologiju</w:t>
      </w:r>
    </w:p>
    <w:p w:rsidR="00747E02" w:rsidRDefault="00747E02" w:rsidP="00747E02">
      <w:pPr>
        <w:pStyle w:val="NoSpacing"/>
      </w:pPr>
      <w:r w:rsidRPr="002344BB">
        <w:t>Nositelj</w:t>
      </w:r>
      <w:r>
        <w:t>:</w:t>
      </w:r>
      <w:r w:rsidRPr="00453B2E">
        <w:t xml:space="preserve"> </w:t>
      </w:r>
      <w:r w:rsidR="00EC2B56">
        <w:t>Izv. prof.</w:t>
      </w:r>
      <w:r>
        <w:t>dr.sc. Kata Rošin-Grget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t>Nastavnici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>:</w:t>
      </w:r>
    </w:p>
    <w:p w:rsidR="00747E02" w:rsidRPr="00393FC7" w:rsidRDefault="00EC2B56" w:rsidP="00747E02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Izv.p</w:t>
      </w:r>
      <w:r w:rsidR="00747E02" w:rsidRPr="00393FC7">
        <w:rPr>
          <w:rFonts w:ascii="Times New Roman" w:hAnsi="Times New Roman"/>
          <w:noProof/>
          <w:sz w:val="24"/>
          <w:szCs w:val="24"/>
        </w:rPr>
        <w:t>rof.dr.sc. Kata Rošin-Grget</w:t>
      </w:r>
    </w:p>
    <w:p w:rsidR="00747E02" w:rsidRPr="00393FC7" w:rsidRDefault="00747E02" w:rsidP="00747E02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Dr.sc. Kristina Peroš, viši asistent</w:t>
      </w:r>
    </w:p>
    <w:p w:rsidR="00747E02" w:rsidRPr="00393FC7" w:rsidRDefault="00747E02" w:rsidP="00747E02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 xml:space="preserve">Dr.sc. Ivana Šutej, </w:t>
      </w:r>
      <w:r>
        <w:rPr>
          <w:rFonts w:ascii="Times New Roman" w:hAnsi="Times New Roman"/>
          <w:noProof/>
          <w:sz w:val="24"/>
          <w:szCs w:val="24"/>
        </w:rPr>
        <w:t xml:space="preserve">viši </w:t>
      </w:r>
      <w:r w:rsidRPr="00393FC7">
        <w:rPr>
          <w:rFonts w:ascii="Times New Roman" w:hAnsi="Times New Roman"/>
          <w:noProof/>
          <w:sz w:val="24"/>
          <w:szCs w:val="24"/>
        </w:rPr>
        <w:t>asistent</w:t>
      </w:r>
    </w:p>
    <w:p w:rsidR="00747E02" w:rsidRPr="00453B2E" w:rsidRDefault="00747E02" w:rsidP="00747E02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Krešimir Bašić, dr. dent. med.</w:t>
      </w:r>
      <w:r>
        <w:rPr>
          <w:rFonts w:ascii="Times New Roman" w:hAnsi="Times New Roman"/>
          <w:noProof/>
          <w:sz w:val="24"/>
          <w:szCs w:val="24"/>
        </w:rPr>
        <w:t>,asistent u statusu znanstvenog novaka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t>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predmeta</w:t>
      </w:r>
      <w:proofErr w:type="spellEnd"/>
    </w:p>
    <w:p w:rsidR="00747E02" w:rsidRPr="00453B2E" w:rsidRDefault="00747E02" w:rsidP="00747E0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Svrha predmeta je upoznati studenta s farmakodinamskim skupinama lijekova koje student počinje koristiti već tijekom studija u radu s bolesnikom: dezinfekcijska sredstva za sprečavanje širenja infekcije na radnom mjestu, antiseptici za meka i tvrda tkiva usne šupljine, antiinfektivi za prevencije i terapiju zaraza u usnoj šupljini, lijekovi (topici) koji se koriste u endodonciji i na sluznici usne šupljine, te oni koji čine zube otpornijim na karijes. Također, student će upoznati farmakodinamske skupine lijekova koje će svakodnevno koristiti u svom budućem radu: lokalni anestetici, simpatomimetici, antimuskarinski lijekovi, opći anestetici, anksiolitici, antihistaminici, kortikosteroidi, hemostiptici. Kod farmakoterapijskih skupina koje liječnik dentalne medicine ne koristi u svom radu student upoznaje farmakodinamske i terapijske značajke pojedine skupine, te njihove neželjene učinke koji se mogu očitovati u orofacijalnoj regiji kao i interakcije do kojih može doći između tih lijekova i onih koje primjenjuje liječnik dentalne medicine. Kako preventiva treba biti značajno zastupljena u radu liječnika dentalne medicine student se upoznaje i s preparatima za higijenu usne šupljine i terapijskim dodacima koji se tim preparatima dodaju. Dio nastavnog procesa čine seminari i vježbe, čime je studentima olakšano savladavanje gradiva. Dio vježbi odnosi se na rješavanje i analizu rezultata pokusa na eksperimentalnim životinjama, a dio na rješavanje simuliranih terapijskih problema.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t>Način</w:t>
      </w:r>
      <w:proofErr w:type="spellEnd"/>
      <w:r>
        <w:t xml:space="preserve"> </w:t>
      </w:r>
      <w:proofErr w:type="spellStart"/>
      <w:r>
        <w:t>ocjenjivanja</w:t>
      </w:r>
      <w:proofErr w:type="spellEnd"/>
    </w:p>
    <w:p w:rsidR="00747E02" w:rsidRPr="00453B2E" w:rsidRDefault="00747E02" w:rsidP="00747E02">
      <w:pPr>
        <w:widowControl w:val="0"/>
        <w:rPr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Tijekom nastave provjera se provodi kratkim pismenim test kolokvijima, a na kraju nastave (završetkom V. semestra) završnim ispitom koji se sastoji iz dva dijela: pismeni dio ( test s 60 pitanja) i usmeni dio. Tijekom usmenog ispita u</w:t>
      </w:r>
      <w:r w:rsidRPr="00393FC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razgovoru s kandidatom ispitivač nastoji dobiti uvid u razumijevanje naučenog gradiva, povezivanje naučenog u cjelinu koja će mu omogućiti</w:t>
      </w:r>
      <w:r w:rsidRPr="00393FC7">
        <w:rPr>
          <w:rFonts w:ascii="Times New Roman" w:hAnsi="Times New Roman"/>
          <w:color w:val="333333"/>
          <w:sz w:val="24"/>
          <w:szCs w:val="24"/>
          <w:lang w:eastAsia="hr-HR"/>
        </w:rPr>
        <w:t xml:space="preserve"> </w:t>
      </w:r>
      <w:r w:rsidRPr="00393FC7">
        <w:rPr>
          <w:rFonts w:ascii="Times New Roman" w:hAnsi="Times New Roman"/>
          <w:color w:val="000000"/>
          <w:sz w:val="24"/>
          <w:szCs w:val="24"/>
          <w:lang w:eastAsia="hr-HR"/>
        </w:rPr>
        <w:t>racionalan odabir terapijskog sredstva za koje pretpostavlja da će maksimalno pomoći bolesniku uz minimalnu moguću štetu.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lastRenderedPageBreak/>
        <w:t>Obaveze</w:t>
      </w:r>
      <w:proofErr w:type="spellEnd"/>
      <w:r>
        <w:t xml:space="preserve"> </w:t>
      </w:r>
      <w:proofErr w:type="spellStart"/>
      <w:r>
        <w:t>studenata</w:t>
      </w:r>
      <w:proofErr w:type="spellEnd"/>
    </w:p>
    <w:p w:rsidR="00747E02" w:rsidRDefault="00747E02" w:rsidP="00747E02">
      <w:r w:rsidRPr="00266BA3">
        <w:rPr>
          <w:rFonts w:ascii="Times New Roman" w:hAnsi="Times New Roman"/>
          <w:sz w:val="24"/>
          <w:szCs w:val="24"/>
        </w:rPr>
        <w:t>Redovito pohađanje nastave</w:t>
      </w:r>
      <w:r>
        <w:rPr>
          <w:rFonts w:ascii="Times New Roman" w:hAnsi="Times New Roman"/>
          <w:sz w:val="24"/>
          <w:szCs w:val="24"/>
        </w:rPr>
        <w:t>:</w:t>
      </w:r>
      <w:r w:rsidRPr="0026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predavanja, </w:t>
      </w:r>
      <w:r w:rsidRPr="00266BA3">
        <w:rPr>
          <w:rFonts w:ascii="Times New Roman" w:hAnsi="Times New Roman"/>
          <w:sz w:val="24"/>
          <w:szCs w:val="24"/>
        </w:rPr>
        <w:t>seminara i vježbi.</w:t>
      </w:r>
      <w:r>
        <w:rPr>
          <w:rFonts w:ascii="Times New Roman" w:hAnsi="Times New Roman"/>
          <w:sz w:val="24"/>
          <w:szCs w:val="24"/>
        </w:rPr>
        <w:t xml:space="preserve"> Položeni kolokviji tijekom nastave uvjet su za pristup završnom test ispitu. Za seminare i vježbe studenti se pripremaju unaprijed. Studente koji se nisu pripremili imaju dodatna pitanja u kolokvijima.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t>Literatura</w:t>
      </w:r>
      <w:proofErr w:type="spellEnd"/>
    </w:p>
    <w:p w:rsidR="00747E02" w:rsidRPr="005F1872" w:rsidRDefault="00747E02" w:rsidP="00747E02">
      <w:pPr>
        <w:pStyle w:val="NoSpacing"/>
        <w:widowControl w:val="0"/>
        <w:spacing w:line="276" w:lineRule="auto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>Obavezna:</w:t>
      </w:r>
    </w:p>
    <w:p w:rsidR="00747E02" w:rsidRDefault="00747E02" w:rsidP="00747E02">
      <w:pPr>
        <w:pStyle w:val="NoSpacing"/>
        <w:widowControl w:val="0"/>
        <w:numPr>
          <w:ilvl w:val="0"/>
          <w:numId w:val="20"/>
        </w:numPr>
        <w:spacing w:line="276" w:lineRule="auto"/>
        <w:rPr>
          <w:rStyle w:val="Strong"/>
          <w:rFonts w:ascii="Times New Roman" w:hAnsi="Times New Roman"/>
          <w:b w:val="0"/>
          <w:color w:val="333333"/>
          <w:sz w:val="24"/>
          <w:szCs w:val="24"/>
        </w:rPr>
      </w:pP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 xml:space="preserve">Ileana Linčir i suradnice: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F</w:t>
      </w:r>
      <w:r w:rsidRPr="005F1872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armakologija za stomatologe, 3. izd.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Zagreb:Medicinska naklada;</w:t>
      </w:r>
      <w:r w:rsidRPr="005F1872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2011.</w:t>
      </w:r>
    </w:p>
    <w:p w:rsidR="00747E02" w:rsidRPr="005F1872" w:rsidRDefault="00747E02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:rsidR="00747E02" w:rsidRPr="005F1872" w:rsidRDefault="00747E02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F1872">
        <w:rPr>
          <w:rFonts w:ascii="Times New Roman" w:hAnsi="Times New Roman"/>
          <w:b/>
          <w:sz w:val="24"/>
          <w:szCs w:val="24"/>
        </w:rPr>
        <w:t>preporučena</w:t>
      </w:r>
      <w:r w:rsidRPr="005F1872">
        <w:rPr>
          <w:rFonts w:ascii="Times New Roman" w:hAnsi="Times New Roman"/>
          <w:sz w:val="24"/>
          <w:szCs w:val="24"/>
        </w:rPr>
        <w:t>:</w:t>
      </w:r>
    </w:p>
    <w:p w:rsidR="00747E02" w:rsidRPr="005F1872" w:rsidRDefault="00747E02" w:rsidP="00747E02">
      <w:pPr>
        <w:pStyle w:val="NoSpacing"/>
        <w:widowControl w:val="0"/>
        <w:numPr>
          <w:ilvl w:val="0"/>
          <w:numId w:val="1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Trkulja V, Klarica M, Šalković- Petrišić M, editors.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>emeljna i kli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nička farmakologija. Zagreb: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Medicinska naklada; 2011.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47E02" w:rsidRPr="005F1872" w:rsidRDefault="00747E02" w:rsidP="00747E02">
      <w:pPr>
        <w:pStyle w:val="NoSpacing"/>
        <w:widowControl w:val="0"/>
        <w:numPr>
          <w:ilvl w:val="0"/>
          <w:numId w:val="1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Yagiela JA, N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>eidle EA, Do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wd FJ.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Pharmacology and therapeutics for dentistry, 5. Izd., London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Mosby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;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2004. </w:t>
      </w:r>
    </w:p>
    <w:p w:rsidR="00747E02" w:rsidRPr="00453B2E" w:rsidRDefault="00747E02" w:rsidP="00747E02">
      <w:pPr>
        <w:pStyle w:val="NoSpacing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Requa-Clark B: Applied pharmacology for the detal hygienist. 4 izd.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St. Louis:Mosby;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2000.</w:t>
      </w:r>
    </w:p>
    <w:p w:rsidR="00747E02" w:rsidRPr="00165A8A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</w:p>
    <w:p w:rsidR="00747E02" w:rsidRPr="005F1872" w:rsidRDefault="00EB7BB9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siječnja  2015</w:t>
      </w:r>
      <w:r w:rsidR="00747E02"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EB7BB9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 veljače  2015</w:t>
      </w:r>
      <w:r w:rsidR="00747E02"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747E02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7BB9">
        <w:rPr>
          <w:rFonts w:ascii="Times New Roman" w:hAnsi="Times New Roman"/>
          <w:sz w:val="24"/>
          <w:szCs w:val="24"/>
        </w:rPr>
        <w:t>1</w:t>
      </w:r>
      <w:r w:rsidRPr="005F1872">
        <w:rPr>
          <w:rFonts w:ascii="Times New Roman" w:hAnsi="Times New Roman"/>
          <w:sz w:val="24"/>
          <w:szCs w:val="24"/>
        </w:rPr>
        <w:t>. veljače  201</w:t>
      </w:r>
      <w:r w:rsidR="00EB7BB9">
        <w:rPr>
          <w:rFonts w:ascii="Times New Roman" w:hAnsi="Times New Roman"/>
          <w:sz w:val="24"/>
          <w:szCs w:val="24"/>
        </w:rPr>
        <w:t>5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EB7BB9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747E02" w:rsidRPr="005F1872">
        <w:rPr>
          <w:rFonts w:ascii="Times New Roman" w:hAnsi="Times New Roman"/>
          <w:sz w:val="24"/>
          <w:szCs w:val="24"/>
        </w:rPr>
        <w:t>. veljače  201</w:t>
      </w:r>
      <w:r>
        <w:rPr>
          <w:rFonts w:ascii="Times New Roman" w:hAnsi="Times New Roman"/>
          <w:sz w:val="24"/>
          <w:szCs w:val="24"/>
        </w:rPr>
        <w:t>5</w:t>
      </w:r>
      <w:r w:rsidR="00747E02"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747E02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7BB9"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 lipnja  201</w:t>
      </w:r>
      <w:r w:rsidR="00EB7BB9">
        <w:rPr>
          <w:rFonts w:ascii="Times New Roman" w:hAnsi="Times New Roman"/>
          <w:sz w:val="24"/>
          <w:szCs w:val="24"/>
        </w:rPr>
        <w:t>5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EB7BB9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747E02" w:rsidRPr="005F1872">
        <w:rPr>
          <w:rFonts w:ascii="Times New Roman" w:hAnsi="Times New Roman"/>
          <w:sz w:val="24"/>
          <w:szCs w:val="24"/>
        </w:rPr>
        <w:t>. srpnja  201</w:t>
      </w:r>
      <w:r>
        <w:rPr>
          <w:rFonts w:ascii="Times New Roman" w:hAnsi="Times New Roman"/>
          <w:sz w:val="24"/>
          <w:szCs w:val="24"/>
        </w:rPr>
        <w:t>5</w:t>
      </w:r>
      <w:r w:rsidR="00747E02" w:rsidRPr="005F1872">
        <w:rPr>
          <w:rFonts w:ascii="Times New Roman" w:hAnsi="Times New Roman"/>
          <w:sz w:val="24"/>
          <w:szCs w:val="24"/>
        </w:rPr>
        <w:t>.</w:t>
      </w:r>
    </w:p>
    <w:p w:rsidR="00747E02" w:rsidRPr="005F1872" w:rsidRDefault="00EB7BB9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747E02" w:rsidRPr="005F1872">
        <w:rPr>
          <w:rFonts w:ascii="Times New Roman" w:hAnsi="Times New Roman"/>
          <w:sz w:val="24"/>
          <w:szCs w:val="24"/>
        </w:rPr>
        <w:t>. rujna  201</w:t>
      </w:r>
      <w:r>
        <w:rPr>
          <w:rFonts w:ascii="Times New Roman" w:hAnsi="Times New Roman"/>
          <w:sz w:val="24"/>
          <w:szCs w:val="24"/>
        </w:rPr>
        <w:t>5</w:t>
      </w:r>
      <w:r w:rsidR="00747E02" w:rsidRPr="005F1872">
        <w:rPr>
          <w:rFonts w:ascii="Times New Roman" w:hAnsi="Times New Roman"/>
          <w:sz w:val="24"/>
          <w:szCs w:val="24"/>
        </w:rPr>
        <w:t>.</w:t>
      </w:r>
    </w:p>
    <w:p w:rsidR="00747E02" w:rsidRDefault="00747E02" w:rsidP="00747E02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F1872">
        <w:rPr>
          <w:rFonts w:ascii="Times New Roman" w:hAnsi="Times New Roman"/>
          <w:sz w:val="24"/>
          <w:szCs w:val="24"/>
        </w:rPr>
        <w:t>1</w:t>
      </w:r>
      <w:r w:rsidR="00EB7BB9">
        <w:rPr>
          <w:rFonts w:ascii="Times New Roman" w:hAnsi="Times New Roman"/>
          <w:sz w:val="24"/>
          <w:szCs w:val="24"/>
        </w:rPr>
        <w:t>6</w:t>
      </w:r>
      <w:r w:rsidRPr="005F1872">
        <w:rPr>
          <w:rFonts w:ascii="Times New Roman" w:hAnsi="Times New Roman"/>
          <w:sz w:val="24"/>
          <w:szCs w:val="24"/>
        </w:rPr>
        <w:t>. rujna  201</w:t>
      </w:r>
      <w:r w:rsidR="00EB7BB9">
        <w:rPr>
          <w:rFonts w:ascii="Times New Roman" w:hAnsi="Times New Roman"/>
          <w:sz w:val="24"/>
          <w:szCs w:val="24"/>
        </w:rPr>
        <w:t>5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747E02" w:rsidRDefault="00747E02" w:rsidP="00747E02">
      <w:pPr>
        <w:pStyle w:val="Heading1"/>
        <w:keepNext w:val="0"/>
        <w:widowControl w:val="0"/>
        <w:numPr>
          <w:ilvl w:val="0"/>
          <w:numId w:val="0"/>
        </w:numPr>
      </w:pPr>
      <w:r>
        <w:t xml:space="preserve">Plan </w:t>
      </w:r>
      <w:proofErr w:type="spellStart"/>
      <w:r>
        <w:t>nastave</w:t>
      </w:r>
      <w:proofErr w:type="spellEnd"/>
    </w:p>
    <w:p w:rsidR="00C4039C" w:rsidRPr="00EB7BB9" w:rsidRDefault="00747E02" w:rsidP="00C4039C">
      <w:pPr>
        <w:pStyle w:val="Heading2"/>
        <w:keepNext w:val="0"/>
        <w:widowControl w:val="0"/>
      </w:pPr>
      <w:proofErr w:type="spellStart"/>
      <w:r>
        <w:t>Predavanja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747E02" w:rsidRPr="00393FC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Red 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Mjesto i</w:t>
            </w:r>
          </w:p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vrijeme*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Predavač</w:t>
            </w:r>
          </w:p>
        </w:tc>
      </w:tr>
      <w:tr w:rsidR="00EB7BB9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Uvod u farmakologiju SŽS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06. i 07.10.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20ABC" w:rsidP="00E20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="00EB7BB9" w:rsidRPr="007C4A79">
              <w:rPr>
                <w:rFonts w:ascii="Times New Roman" w:hAnsi="Times New Roman"/>
              </w:rPr>
              <w:t>rof.dr.sc. K. Rošin-Grget</w:t>
            </w:r>
          </w:p>
        </w:tc>
      </w:tr>
      <w:tr w:rsidR="00EB7BB9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Opća anestezija-inhalacijski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13. i 14. 10.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20ABC" w:rsidP="00E20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7C4A79">
              <w:rPr>
                <w:rFonts w:ascii="Times New Roman" w:hAnsi="Times New Roman"/>
              </w:rPr>
              <w:t>rof.dr.sc. K. Rošin-Grget</w:t>
            </w:r>
            <w:r w:rsidRPr="007C4A79">
              <w:rPr>
                <w:rFonts w:ascii="Times New Roman" w:hAnsi="Times New Roman"/>
              </w:rPr>
              <w:t xml:space="preserve"> </w:t>
            </w:r>
          </w:p>
        </w:tc>
      </w:tr>
      <w:tr w:rsidR="00EB7BB9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Neinhalacijski opći anestetici i neuroleptanalgezija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20. i 21. 10.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20ABC" w:rsidP="00E20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7C4A79">
              <w:rPr>
                <w:rFonts w:ascii="Times New Roman" w:hAnsi="Times New Roman"/>
              </w:rPr>
              <w:t>rof.dr.sc. K. Rošin-Grget</w:t>
            </w:r>
            <w:r w:rsidRPr="007C4A79">
              <w:rPr>
                <w:rFonts w:ascii="Times New Roman" w:hAnsi="Times New Roman"/>
              </w:rPr>
              <w:t xml:space="preserve"> </w:t>
            </w:r>
          </w:p>
        </w:tc>
      </w:tr>
      <w:tr w:rsidR="00EB7BB9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Hipnotici</w:t>
            </w:r>
          </w:p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Anksiolitici (benzodiazepini)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27. i 28. 10.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20ABC" w:rsidP="00E20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7C4A79">
              <w:rPr>
                <w:rFonts w:ascii="Times New Roman" w:hAnsi="Times New Roman"/>
              </w:rPr>
              <w:t>rof.dr.sc. K. Rošin-Grget</w:t>
            </w:r>
            <w:r w:rsidRPr="007C4A79">
              <w:rPr>
                <w:rFonts w:ascii="Times New Roman" w:hAnsi="Times New Roman"/>
              </w:rPr>
              <w:t xml:space="preserve"> </w:t>
            </w:r>
          </w:p>
        </w:tc>
      </w:tr>
      <w:tr w:rsidR="00EB7BB9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Opioidni analgetici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B9" w:rsidRPr="007C4A79" w:rsidRDefault="00EB7BB9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03. i 04. 11.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B7BB9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9" w:rsidRPr="007C4A79" w:rsidRDefault="00E20ABC" w:rsidP="00E20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7C4A79">
              <w:rPr>
                <w:rFonts w:ascii="Times New Roman" w:hAnsi="Times New Roman"/>
              </w:rPr>
              <w:t>rof.dr.sc. K. Rošin-Grget</w:t>
            </w:r>
            <w:r w:rsidRPr="007C4A79">
              <w:rPr>
                <w:rFonts w:ascii="Times New Roman" w:hAnsi="Times New Roman"/>
              </w:rPr>
              <w:t xml:space="preserve"> 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Toksičnost i ovisnost o opioidnim analgeticima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10. i 11. 11.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Analgetici – antipiretici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17. i 18. 11.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Farmakologija autonomnog živčanog sustava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24. i 25. 11.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  <w:bookmarkStart w:id="0" w:name="_GoBack"/>
        <w:bookmarkEnd w:id="0"/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Agonisti antagonisti kolinergičnih receptora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01. i 02. 12.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Agonisti antagonisti adrenergičnih receptora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08. i 09. 12. 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Lokalni anestetici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15. i 16. 12. 14.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E27D23">
            <w:pPr>
              <w:spacing w:line="240" w:lineRule="auto"/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Nuspojave lokalnih anestetika</w:t>
            </w:r>
          </w:p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Antikonvulzivi i antiparkisonici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22. i 23. 12. 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Farmakologija kardiovaskularnog sustava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12. i 13. 01. 15.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  <w:tr w:rsidR="00E20ABC" w:rsidRPr="00270167" w:rsidTr="00203E1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Kortikosteridi, antineoplastici i antihistaminici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BC" w:rsidRPr="007C4A79" w:rsidRDefault="00E20ABC" w:rsidP="00203E1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19. i 20. 01. 15.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Pr="007C4A79" w:rsidRDefault="00E20ABC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BC" w:rsidRDefault="00E20ABC">
            <w:r w:rsidRPr="00DB560C">
              <w:rPr>
                <w:rFonts w:ascii="Times New Roman" w:hAnsi="Times New Roman"/>
              </w:rPr>
              <w:t>Izv.prof.dr.sc. K. Rošin-Grget</w:t>
            </w:r>
          </w:p>
        </w:tc>
      </w:tr>
    </w:tbl>
    <w:p w:rsidR="00747E02" w:rsidRPr="00270167" w:rsidRDefault="00747E02" w:rsidP="00747E02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spellStart"/>
      <w:r w:rsidRPr="00270167">
        <w:rPr>
          <w:rFonts w:ascii="Times New Roman" w:hAnsi="Times New Roman"/>
          <w:sz w:val="24"/>
          <w:szCs w:val="24"/>
        </w:rPr>
        <w:t>Seminari</w:t>
      </w:r>
      <w:proofErr w:type="spellEnd"/>
      <w:r w:rsidRPr="00270167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747E02" w:rsidRPr="00DB5688" w:rsidTr="00203E1F">
        <w:tc>
          <w:tcPr>
            <w:tcW w:w="363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Predavač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Antiseptici i dezinficijensi, Oksidacijski antiseptici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06.-10.10. 14.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>,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Halogeni i njihovi spojevi</w:t>
            </w:r>
            <w:r w:rsidR="007E72DB" w:rsidRPr="007C4A79">
              <w:rPr>
                <w:rFonts w:ascii="Times New Roman" w:hAnsi="Times New Roman"/>
                <w:color w:val="333333"/>
                <w:lang w:eastAsia="hr-HR"/>
              </w:rPr>
              <w:t>, Hg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13.-17.10.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Alkoholi, Aldehidi, Fenoli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20.-24.10.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Eterična ulja, organske boje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27.-31. 10.14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ind w:hanging="360"/>
              <w:rPr>
                <w:rFonts w:ascii="Times New Roman" w:hAnsi="Times New Roman"/>
                <w:color w:val="333333"/>
                <w:lang w:eastAsia="hr-HR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5.   Površinski aktivna sredstva, Dezinfekcija i sterilizacija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3.-7.11.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lang w:eastAsia="hr-HR"/>
              </w:rPr>
              <w:t>Antiinfektivi, Sulfonamidi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10.-14.11.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Beta-laktamski antibiotici (penicilin)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17.-21.11.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Beta-laktamski antibiotici (cefalosporini i dr.)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24.-28.11.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Aminoglikozidi i tetraciklini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1.-5.12.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Makrolidi i slični antibiotici Metronidazol, Polipeptidi, Antifungici,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8.-12.12.14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Antivirusni lijekovi, Antituberkulotici, Adstrigensi, smole, sluzi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15.-19. 12.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Topici za usnu šupljinu, Preparati koji se rabe u endodonciji, prikazi slučajeva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7C4A7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22.-23.12.14</w:t>
            </w:r>
          </w:p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7-9.1. 15.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Vježba iz Autonomnog živčanog sustava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12.-16.1.15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Fluor, zubni karijes</w:t>
            </w:r>
          </w:p>
          <w:p w:rsidR="00233B76" w:rsidRPr="007C4A79" w:rsidRDefault="00233B76" w:rsidP="00203E1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Metode fluoridacije i toksičnost fluorida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19.-23.1.15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</w:tbl>
    <w:p w:rsidR="00233B76" w:rsidRPr="00772448" w:rsidRDefault="00233B76" w:rsidP="00233B76">
      <w:pPr>
        <w:rPr>
          <w:rFonts w:ascii="Times New Roman" w:hAnsi="Times New Roman"/>
          <w:sz w:val="24"/>
          <w:szCs w:val="24"/>
          <w:lang w:val="en-US"/>
        </w:rPr>
      </w:pPr>
    </w:p>
    <w:p w:rsidR="00772448" w:rsidRPr="00772448" w:rsidRDefault="00772448" w:rsidP="00233B76">
      <w:pPr>
        <w:rPr>
          <w:rFonts w:ascii="Times New Roman" w:hAnsi="Times New Roman"/>
          <w:sz w:val="24"/>
          <w:szCs w:val="24"/>
          <w:lang w:val="en-US"/>
        </w:rPr>
      </w:pPr>
    </w:p>
    <w:p w:rsidR="00747E02" w:rsidRPr="00772448" w:rsidRDefault="00747E02" w:rsidP="00747E02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spellStart"/>
      <w:r w:rsidRPr="00772448">
        <w:rPr>
          <w:rFonts w:ascii="Times New Roman" w:hAnsi="Times New Roman"/>
          <w:sz w:val="24"/>
          <w:szCs w:val="24"/>
        </w:rPr>
        <w:t>Vježbe</w:t>
      </w:r>
      <w:proofErr w:type="spellEnd"/>
      <w:r w:rsidRPr="00772448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747E02" w:rsidRPr="00772448" w:rsidTr="00203E1F">
        <w:tc>
          <w:tcPr>
            <w:tcW w:w="363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747E02" w:rsidRPr="007C4A79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747E02" w:rsidRPr="00772448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448">
              <w:rPr>
                <w:rFonts w:ascii="Times New Roman" w:hAnsi="Times New Roman"/>
                <w:b/>
                <w:sz w:val="24"/>
                <w:szCs w:val="24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747E02" w:rsidRPr="00772448" w:rsidRDefault="00747E02" w:rsidP="00203E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448">
              <w:rPr>
                <w:rFonts w:ascii="Times New Roman" w:hAnsi="Times New Roman"/>
                <w:b/>
                <w:sz w:val="24"/>
                <w:szCs w:val="24"/>
              </w:rPr>
              <w:t>Predavač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oksidacijskih antiseptika za primjenu u stomatologiji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7C4A79" w:rsidP="007C4A7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06.-10.10.1</w:t>
            </w:r>
            <w:r w:rsidR="00233B76" w:rsidRPr="007C4A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 w:rsidRPr="007C4A79">
              <w:rPr>
                <w:rFonts w:ascii="Times New Roman" w:hAnsi="Times New Roman"/>
              </w:rPr>
              <w:t>,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Antiseptici u endodonciji, Postavljanje problema: pristup i rješavanje, Dentalni amalgam kao mogući izvor otrovanja Hg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13.-17.10.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odgovarajućih antiseptika alifatskog i aromatskog reda za primjenu u stomatologiji.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20.-24.10.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eteričnih ulja i organskih antiseptičkih boja za primjenu u stomatologiji.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27.-31. 10.14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940F4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Primjena antiseptika i dezinficijensa u sprječavanju prijenosa infekcije u stomatološkoj ordinaciji. Postavljanje problema: pristup</w:t>
            </w:r>
            <w:r w:rsidR="007C4A79">
              <w:rPr>
                <w:rFonts w:ascii="Times New Roman" w:hAnsi="Times New Roman"/>
              </w:rPr>
              <w:t xml:space="preserve"> </w:t>
            </w:r>
            <w:r w:rsidRPr="007C4A79">
              <w:rPr>
                <w:rFonts w:ascii="Times New Roman" w:hAnsi="Times New Roman"/>
              </w:rPr>
              <w:t>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3.-7.11.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 xml:space="preserve">Odabir odgovarajućeg antimikrobnog lijeka u liječenju odontogenih infekcija.  </w:t>
            </w:r>
            <w:r w:rsidRPr="007C4A79">
              <w:rPr>
                <w:rFonts w:ascii="Times New Roman" w:hAnsi="Times New Roman"/>
                <w:noProof/>
              </w:rPr>
              <w:lastRenderedPageBreak/>
              <w:t>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lastRenderedPageBreak/>
              <w:t>10.-14.11.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Profilaktička primjena antimikrobnih lijekova.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17.-21.11.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Neželjene reakcije na antimikrobne lijekove.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24.-28.11.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940F4A" w:rsidRPr="007C4A79" w:rsidRDefault="00940F4A" w:rsidP="00940F4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antimikrobnog lijeka u liječenju trudnica i dojilja</w:t>
            </w:r>
          </w:p>
          <w:p w:rsidR="00233B76" w:rsidRPr="007C4A79" w:rsidRDefault="00940F4A" w:rsidP="00940F4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1.-5.12.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940F4A" w:rsidRPr="007C4A79" w:rsidRDefault="00940F4A" w:rsidP="00940F4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Važne interakcije antimikrobnih</w:t>
            </w:r>
          </w:p>
          <w:p w:rsidR="00233B76" w:rsidRPr="007C4A79" w:rsidRDefault="00940F4A" w:rsidP="00940F4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lijekova.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8.-12.12.14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7C4A79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lijekova u liječenju gljivičnih i virusnih infekcija usne šupljine.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15.-19. 12. 14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7C4A79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Topici za usnu šupljinu.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7C4A7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22.-23.12.14</w:t>
            </w:r>
          </w:p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7-9.1. 15.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Vegetativni živčani sustav: analiza rezultata dobivenih na eksperimentalnim životinjama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12.-16.1.15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233B76" w:rsidRPr="00772448" w:rsidTr="00203E1F">
        <w:tc>
          <w:tcPr>
            <w:tcW w:w="363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233B76" w:rsidRPr="007C4A79" w:rsidRDefault="00940F4A" w:rsidP="00203E1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Određivanje doze fluora u tabletama. Izračunavanje sadržaja fluora u odgovarajućoj količini zubnih pasta, želea, vodica za usta.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33B76" w:rsidRPr="007C4A79" w:rsidRDefault="00233B76" w:rsidP="00203E1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19.-23.1.15</w:t>
            </w:r>
          </w:p>
        </w:tc>
        <w:tc>
          <w:tcPr>
            <w:tcW w:w="767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Rošin-Grget K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 w:rsidR="007C4A79"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233B76" w:rsidRPr="007C4A79" w:rsidRDefault="00233B76" w:rsidP="00203E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</w:tbl>
    <w:p w:rsidR="00747E02" w:rsidRPr="006231A4" w:rsidRDefault="00747E02" w:rsidP="00747E02"/>
    <w:p w:rsidR="000D7F86" w:rsidRDefault="000D7F86"/>
    <w:sectPr w:rsidR="000D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>
    <w:nsid w:val="3BEC198F"/>
    <w:multiLevelType w:val="hybridMultilevel"/>
    <w:tmpl w:val="6464EBD4"/>
    <w:lvl w:ilvl="0" w:tplc="36748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B5970"/>
    <w:multiLevelType w:val="hybridMultilevel"/>
    <w:tmpl w:val="11008552"/>
    <w:lvl w:ilvl="0" w:tplc="BFE67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02"/>
    <w:rsid w:val="000D7F86"/>
    <w:rsid w:val="00233B76"/>
    <w:rsid w:val="00270167"/>
    <w:rsid w:val="0053764B"/>
    <w:rsid w:val="005C40A9"/>
    <w:rsid w:val="006E4A46"/>
    <w:rsid w:val="00747E02"/>
    <w:rsid w:val="00772448"/>
    <w:rsid w:val="007C4A79"/>
    <w:rsid w:val="007E1C48"/>
    <w:rsid w:val="007E72DB"/>
    <w:rsid w:val="00940F4A"/>
    <w:rsid w:val="00C4039C"/>
    <w:rsid w:val="00C57AB0"/>
    <w:rsid w:val="00E20ABC"/>
    <w:rsid w:val="00E27D23"/>
    <w:rsid w:val="00EB7BB9"/>
    <w:rsid w:val="00E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747E0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47E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E02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747E0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47E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E02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4B44-9EC0-46C9-9E07-C8C98FC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Rosin</cp:lastModifiedBy>
  <cp:revision>4</cp:revision>
  <dcterms:created xsi:type="dcterms:W3CDTF">2014-10-07T09:45:00Z</dcterms:created>
  <dcterms:modified xsi:type="dcterms:W3CDTF">2014-10-07T09:50:00Z</dcterms:modified>
</cp:coreProperties>
</file>